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7219" w14:textId="2309FC4F" w:rsidR="00D54B51" w:rsidRPr="00465482" w:rsidRDefault="002877CE">
      <w:pPr>
        <w:spacing w:after="0" w:line="259" w:lineRule="auto"/>
        <w:ind w:left="0" w:right="3" w:firstLine="0"/>
        <w:jc w:val="center"/>
        <w:rPr>
          <w:sz w:val="28"/>
          <w:szCs w:val="28"/>
        </w:rPr>
      </w:pPr>
      <w:r w:rsidRPr="00465482">
        <w:rPr>
          <w:b/>
          <w:sz w:val="28"/>
          <w:szCs w:val="28"/>
        </w:rPr>
        <w:t>202</w:t>
      </w:r>
      <w:r w:rsidR="00DF79D7" w:rsidRPr="00465482">
        <w:rPr>
          <w:b/>
          <w:sz w:val="28"/>
          <w:szCs w:val="28"/>
        </w:rPr>
        <w:t>6</w:t>
      </w:r>
      <w:r w:rsidRPr="00465482">
        <w:rPr>
          <w:sz w:val="28"/>
          <w:szCs w:val="28"/>
        </w:rPr>
        <w:t xml:space="preserve"> </w:t>
      </w:r>
      <w:r w:rsidRPr="00465482">
        <w:rPr>
          <w:b/>
          <w:sz w:val="28"/>
          <w:szCs w:val="28"/>
        </w:rPr>
        <w:t xml:space="preserve">ISBA Legislative Foundational Statements </w:t>
      </w:r>
    </w:p>
    <w:p w14:paraId="38233B33" w14:textId="78750F72" w:rsidR="00D54B51" w:rsidRDefault="002877CE" w:rsidP="00465482">
      <w:pPr>
        <w:spacing w:after="0" w:line="259" w:lineRule="auto"/>
        <w:ind w:left="64" w:firstLine="0"/>
        <w:jc w:val="center"/>
      </w:pPr>
      <w:r>
        <w:rPr>
          <w:b/>
        </w:rPr>
        <w:t xml:space="preserve"> </w:t>
      </w:r>
    </w:p>
    <w:p w14:paraId="3AA2D445" w14:textId="77777777" w:rsidR="00D54B51" w:rsidRDefault="002877CE">
      <w:pPr>
        <w:ind w:left="-5"/>
      </w:pPr>
      <w:r>
        <w:t xml:space="preserve">The Indiana School Boards Association (ISBA) is dedicated to improving the quality of public education and school governance throughout the state of Indiana. ISBA recognizes the role of the General Assembly in enacting legislation that impacts public education and is committed to representing the interests of its member school corporations when addressing legislative initiatives. ISBA has adopted the following foundational statements to formalize its position as it advocates on behalf of Indiana school boards, public education, and students on present and future legislation. </w:t>
      </w:r>
    </w:p>
    <w:p w14:paraId="13B62327" w14:textId="77777777" w:rsidR="00D54B51" w:rsidRDefault="002877CE">
      <w:pPr>
        <w:spacing w:after="0" w:line="259" w:lineRule="auto"/>
        <w:ind w:left="0" w:firstLine="0"/>
      </w:pPr>
      <w:r>
        <w:t xml:space="preserve"> </w:t>
      </w:r>
    </w:p>
    <w:p w14:paraId="4D6F389A" w14:textId="77777777" w:rsidR="00D54B51" w:rsidRDefault="002877CE">
      <w:pPr>
        <w:pStyle w:val="Heading1"/>
        <w:ind w:left="-5" w:right="0"/>
      </w:pPr>
      <w:r>
        <w:t xml:space="preserve">Support Exceptional Learning Opportunities for Hoosier Children </w:t>
      </w:r>
    </w:p>
    <w:p w14:paraId="3EDB56F1" w14:textId="51213079" w:rsidR="00D54B51" w:rsidRDefault="002877CE">
      <w:pPr>
        <w:ind w:left="-5"/>
      </w:pPr>
      <w:r>
        <w:t>The ISBA supports programs and policies to provide exceptional learning opportunities for Hoosier children</w:t>
      </w:r>
      <w:r w:rsidR="00681727">
        <w:t xml:space="preserve"> from Pre-K to Grade 12</w:t>
      </w:r>
      <w:r>
        <w:t xml:space="preserve">. Given that approximately </w:t>
      </w:r>
      <w:r w:rsidR="003B58E9">
        <w:t>91</w:t>
      </w:r>
      <w:r>
        <w:t xml:space="preserve"> percent of all K-12 students attend a public school, the families of more than 1 million students have spoken and have made public schools the “schools of choice.” ISBA believes that, through local control, school boards have created a rich and diverse public education system that provides a multitude of learning environments, programs, and curricular offerings to students. Through these opportunities school boards must prepare a new generation of students to be college and career ready, helping drive the economic growth and prosperity of the state.  </w:t>
      </w:r>
    </w:p>
    <w:p w14:paraId="7FA34412" w14:textId="77777777" w:rsidR="00D54B51" w:rsidRDefault="002877CE">
      <w:pPr>
        <w:spacing w:after="0" w:line="259" w:lineRule="auto"/>
        <w:ind w:left="0" w:firstLine="0"/>
      </w:pPr>
      <w:r>
        <w:rPr>
          <w:b/>
        </w:rPr>
        <w:t xml:space="preserve"> </w:t>
      </w:r>
    </w:p>
    <w:p w14:paraId="357775A7" w14:textId="154C5ED5" w:rsidR="00D54B51" w:rsidRDefault="002877CE">
      <w:pPr>
        <w:pStyle w:val="Heading1"/>
        <w:ind w:left="-5" w:right="0"/>
      </w:pPr>
      <w:r>
        <w:t xml:space="preserve">Promote </w:t>
      </w:r>
      <w:r w:rsidR="008E7863">
        <w:t>Adequate</w:t>
      </w:r>
      <w:r>
        <w:t xml:space="preserve"> Funding of Public Schools</w:t>
      </w:r>
      <w:r w:rsidR="00FA01D4">
        <w:rPr>
          <w:b w:val="0"/>
        </w:rPr>
        <w:t xml:space="preserve"> </w:t>
      </w:r>
      <w:r w:rsidR="00FA01D4">
        <w:rPr>
          <w:bCs/>
        </w:rPr>
        <w:t>to Improve Student Outcomes</w:t>
      </w:r>
    </w:p>
    <w:p w14:paraId="42E95F1C" w14:textId="7E4EBC46" w:rsidR="00D54B51" w:rsidRDefault="002877CE">
      <w:pPr>
        <w:ind w:left="-5"/>
      </w:pPr>
      <w:r>
        <w:t>The ISBA supports the funding of public schools that is annually adjusted to keep ahead of inflation and that improves Indiana’s national rankings</w:t>
      </w:r>
      <w:r>
        <w:rPr>
          <w:b/>
        </w:rPr>
        <w:t xml:space="preserve"> </w:t>
      </w:r>
      <w:r>
        <w:t>on per pupil funding and teacher compensation</w:t>
      </w:r>
      <w:r w:rsidRPr="00533874">
        <w:t xml:space="preserve">. </w:t>
      </w:r>
      <w:r w:rsidR="00D06236" w:rsidRPr="00533874">
        <w:t xml:space="preserve">In addition, </w:t>
      </w:r>
      <w:r w:rsidR="00CD23AF" w:rsidRPr="00533874">
        <w:t xml:space="preserve">school corporations require sufficient property tax levy dollars to </w:t>
      </w:r>
      <w:r w:rsidR="00A32311" w:rsidRPr="00533874">
        <w:t>fund all obligations paid through the Operations Fund</w:t>
      </w:r>
      <w:r w:rsidR="005866AA" w:rsidRPr="00533874">
        <w:t>.</w:t>
      </w:r>
      <w:r w:rsidR="005866AA">
        <w:t xml:space="preserve"> </w:t>
      </w:r>
      <w:r>
        <w:t xml:space="preserve">This allows local boards of education to support the ongoing improvement in the quality of public education and ensure adequate resources to address the learning needs of all children. ISBA supports the equitable funding of public schools, recognizing that schools may need additional funding to educate economically disadvantaged students and students with unique educational needs. </w:t>
      </w:r>
    </w:p>
    <w:p w14:paraId="0DF28E0A" w14:textId="77777777" w:rsidR="00D54B51" w:rsidRDefault="002877CE">
      <w:pPr>
        <w:spacing w:after="0" w:line="259" w:lineRule="auto"/>
        <w:ind w:left="0" w:firstLine="0"/>
      </w:pPr>
      <w:r>
        <w:t xml:space="preserve"> </w:t>
      </w:r>
    </w:p>
    <w:p w14:paraId="2D3FD972" w14:textId="77777777" w:rsidR="00D54B51" w:rsidRDefault="002877CE">
      <w:pPr>
        <w:pStyle w:val="Heading1"/>
        <w:ind w:left="-5" w:right="0"/>
      </w:pPr>
      <w:r>
        <w:t xml:space="preserve">Empower School Board Authority </w:t>
      </w:r>
    </w:p>
    <w:p w14:paraId="0585ACA8" w14:textId="27C0812B" w:rsidR="00D54B51" w:rsidRDefault="002877CE">
      <w:pPr>
        <w:ind w:left="-5"/>
      </w:pPr>
      <w:r>
        <w:t xml:space="preserve">The ISBA supports empowering local boards of education with the authority to govern </w:t>
      </w:r>
      <w:r w:rsidR="008F0115">
        <w:t>educational</w:t>
      </w:r>
      <w:r>
        <w:t xml:space="preserve"> and financial matters, including</w:t>
      </w:r>
      <w:r w:rsidR="008F0115">
        <w:t xml:space="preserve"> curriculum and</w:t>
      </w:r>
      <w:r>
        <w:t xml:space="preserve"> health and safety measures for students and employees of school corporations. In addition, the ISBA </w:t>
      </w:r>
      <w:r w:rsidR="003D66E1">
        <w:t xml:space="preserve">believes that </w:t>
      </w:r>
      <w:r w:rsidR="00A818DB">
        <w:t>school boards and local voters should</w:t>
      </w:r>
      <w:r>
        <w:t xml:space="preserve"> maintain the </w:t>
      </w:r>
      <w:r w:rsidR="00A818DB">
        <w:t xml:space="preserve">exclusive </w:t>
      </w:r>
      <w:r>
        <w:t xml:space="preserve">authority to make changes to local reorganization plans, including consolidation and </w:t>
      </w:r>
      <w:proofErr w:type="spellStart"/>
      <w:r>
        <w:t>disannexation</w:t>
      </w:r>
      <w:proofErr w:type="spellEnd"/>
      <w:r>
        <w:t xml:space="preserve"> of school corporations. </w:t>
      </w:r>
      <w:r w:rsidR="00D4296C">
        <w:t>ISBA opposes state mandated consolidation</w:t>
      </w:r>
      <w:r w:rsidR="00047D1A">
        <w:t xml:space="preserve">, especially when </w:t>
      </w:r>
      <w:r w:rsidR="00D2283D">
        <w:t>imposed without public input.</w:t>
      </w:r>
    </w:p>
    <w:p w14:paraId="743D4C05" w14:textId="77777777" w:rsidR="00D54B51" w:rsidRDefault="002877CE">
      <w:pPr>
        <w:spacing w:after="0" w:line="259" w:lineRule="auto"/>
        <w:ind w:left="0" w:firstLine="0"/>
      </w:pPr>
      <w:r>
        <w:t xml:space="preserve"> </w:t>
      </w:r>
    </w:p>
    <w:p w14:paraId="6E9A5559" w14:textId="77777777" w:rsidR="00D54B51" w:rsidRDefault="002877CE">
      <w:pPr>
        <w:pStyle w:val="Heading1"/>
        <w:ind w:left="-5" w:right="0"/>
      </w:pPr>
      <w:r>
        <w:t xml:space="preserve">Engage and Involve Families </w:t>
      </w:r>
    </w:p>
    <w:p w14:paraId="31C92926" w14:textId="0391FB5E" w:rsidR="00D54B51" w:rsidRDefault="002877CE">
      <w:pPr>
        <w:ind w:left="-5"/>
      </w:pPr>
      <w:r w:rsidRPr="00533874">
        <w:t xml:space="preserve">The ISBA believes that the involvement of all families results in stronger schools and better student outcomes. School boards continually strive to create opportunities for parents, guardians, and caregivers to be heard, including </w:t>
      </w:r>
      <w:r w:rsidR="00B91B7F" w:rsidRPr="00533874">
        <w:t>pr</w:t>
      </w:r>
      <w:r w:rsidR="00170E5C" w:rsidRPr="00533874">
        <w:t xml:space="preserve">oviding avenues </w:t>
      </w:r>
      <w:r w:rsidR="00560E76" w:rsidRPr="00533874">
        <w:t xml:space="preserve">to </w:t>
      </w:r>
      <w:r w:rsidRPr="00533874">
        <w:t xml:space="preserve">review </w:t>
      </w:r>
      <w:r w:rsidR="00560E76" w:rsidRPr="00533874">
        <w:t>curricular materials</w:t>
      </w:r>
      <w:r w:rsidRPr="00533874">
        <w:t>. Parents, guardians, and caregivers should continue to have a process or opportunity for input</w:t>
      </w:r>
      <w:r w:rsidR="00575202" w:rsidRPr="00533874">
        <w:t xml:space="preserve"> on educational matters</w:t>
      </w:r>
      <w:r w:rsidRPr="00533874">
        <w:t xml:space="preserve"> through the classroom teacher, principal, superintendent, and finally the school board. </w:t>
      </w:r>
      <w:r w:rsidR="00332A44" w:rsidRPr="00533874">
        <w:t>While u</w:t>
      </w:r>
      <w:r w:rsidRPr="00533874">
        <w:t>ltimately, the establishment of student achievement goals and curriculum review and approval rest with the school board</w:t>
      </w:r>
      <w:r w:rsidR="00060120" w:rsidRPr="00533874">
        <w:t>,</w:t>
      </w:r>
      <w:r w:rsidR="00EA7451" w:rsidRPr="00533874">
        <w:t xml:space="preserve"> family engagement helps shape goa</w:t>
      </w:r>
      <w:r w:rsidR="00FE3577" w:rsidRPr="00533874">
        <w:t>ls and educational programming.</w:t>
      </w:r>
    </w:p>
    <w:p w14:paraId="0D3C6D5A" w14:textId="77777777" w:rsidR="00D54B51" w:rsidRDefault="002877CE">
      <w:pPr>
        <w:spacing w:after="55" w:line="259" w:lineRule="auto"/>
        <w:ind w:left="0" w:firstLine="0"/>
      </w:pPr>
      <w:r>
        <w:t xml:space="preserve"> </w:t>
      </w:r>
    </w:p>
    <w:p w14:paraId="623BC14D" w14:textId="77777777" w:rsidR="00D54B51" w:rsidRDefault="002877CE">
      <w:pPr>
        <w:pStyle w:val="Heading1"/>
        <w:ind w:left="-5" w:right="0"/>
      </w:pPr>
      <w:r>
        <w:lastRenderedPageBreak/>
        <w:t xml:space="preserve">Maintain Safe and Supportive Classrooms </w:t>
      </w:r>
    </w:p>
    <w:p w14:paraId="29739C3D" w14:textId="3EA69EA4" w:rsidR="00D54B51" w:rsidRDefault="002877CE">
      <w:pPr>
        <w:ind w:left="-5"/>
      </w:pPr>
      <w:r>
        <w:t>The ISBA believes that every child deserves a safe and secure learning environment. ISBA supports local control―with state support, broad policy, and adequate funding―to implement comprehensive school safety plans informed by a threat assessment and developed in collaboration with law enforcement and public safety agencies. ISBA opposes</w:t>
      </w:r>
      <w:r w:rsidR="00EE1349">
        <w:t xml:space="preserve"> both</w:t>
      </w:r>
      <w:r>
        <w:t xml:space="preserve"> funded or unfunded mandates </w:t>
      </w:r>
      <w:r w:rsidR="00BA4505">
        <w:t>requir</w:t>
      </w:r>
      <w:r w:rsidR="001E27D6">
        <w:t xml:space="preserve">ing </w:t>
      </w:r>
      <w:r w:rsidR="00AF2DD9">
        <w:t xml:space="preserve">the </w:t>
      </w:r>
      <w:r>
        <w:t xml:space="preserve">implementation of specific school safety equipment, devices, </w:t>
      </w:r>
      <w:proofErr w:type="gramStart"/>
      <w:r>
        <w:t>or</w:t>
      </w:r>
      <w:proofErr w:type="gramEnd"/>
      <w:r>
        <w:t xml:space="preserve"> technology. Policies and funding pertaining to school safety should be holistic and </w:t>
      </w:r>
      <w:r w:rsidR="009F3B8A">
        <w:t xml:space="preserve">should </w:t>
      </w:r>
      <w:r w:rsidR="00533874">
        <w:t>also address</w:t>
      </w:r>
      <w:r>
        <w:t xml:space="preserve"> the social and emotional needs of students and staff, including resources for guidance counselors, social workers, school psychologists, and mental health therapists to support student and staff wellness. </w:t>
      </w:r>
    </w:p>
    <w:p w14:paraId="533D8DE6" w14:textId="77777777" w:rsidR="00D54B51" w:rsidRDefault="002877CE">
      <w:pPr>
        <w:spacing w:after="0" w:line="259" w:lineRule="auto"/>
        <w:ind w:left="0" w:firstLine="0"/>
      </w:pPr>
      <w:r>
        <w:rPr>
          <w:rFonts w:ascii="Calibri" w:eastAsia="Calibri" w:hAnsi="Calibri" w:cs="Calibri"/>
        </w:rPr>
        <w:t xml:space="preserve"> </w:t>
      </w:r>
    </w:p>
    <w:p w14:paraId="7B79A42A" w14:textId="77777777" w:rsidR="00D54B51" w:rsidRDefault="002877CE">
      <w:pPr>
        <w:pStyle w:val="Heading1"/>
        <w:ind w:left="-5" w:right="0"/>
      </w:pPr>
      <w:r>
        <w:t xml:space="preserve">Promote High-Quality Teachers and School Leaders </w:t>
      </w:r>
    </w:p>
    <w:p w14:paraId="049BE9E1" w14:textId="77777777" w:rsidR="00D54B51" w:rsidRDefault="002877CE">
      <w:pPr>
        <w:ind w:left="-5"/>
      </w:pPr>
      <w:r>
        <w:t xml:space="preserve">The ISBA believes that effective educational achievement outcomes depend on a high-quality teacher and administrator workforce. We support legislation that respects and values the teaching profession. We support state policies and laws that enable “teachers to teach” without burdensome regulation or policies that diminish or demean the profession. ISBA seeks support for teacher recruitment strategies that both address critical shortage areas and attract a pipeline of diverse teacher candidates into the classroom, such as promising “Grow Your Own” partnerships between schools and postsecondary institutions and state pre-service teacher scholarship programs to attract more minority teachers to better reflect Indiana’s student population. ISBA is a proponent of initiatives that improve the retention of excellent educators, including enhanced support for mentoring and leadership development. </w:t>
      </w:r>
    </w:p>
    <w:p w14:paraId="6C6811B6" w14:textId="77777777" w:rsidR="00D54B51" w:rsidRDefault="002877CE">
      <w:pPr>
        <w:spacing w:after="0" w:line="259" w:lineRule="auto"/>
        <w:ind w:left="0" w:firstLine="0"/>
      </w:pPr>
      <w:r>
        <w:rPr>
          <w:b/>
        </w:rPr>
        <w:t xml:space="preserve"> </w:t>
      </w:r>
    </w:p>
    <w:p w14:paraId="6F7C5D10" w14:textId="77777777" w:rsidR="00D54B51" w:rsidRDefault="002877CE">
      <w:pPr>
        <w:pStyle w:val="Heading1"/>
        <w:ind w:left="-5" w:right="0"/>
      </w:pPr>
      <w:r>
        <w:t>Support Professional Development</w:t>
      </w:r>
      <w:r>
        <w:rPr>
          <w:b w:val="0"/>
        </w:rPr>
        <w:t xml:space="preserve"> </w:t>
      </w:r>
    </w:p>
    <w:p w14:paraId="110B2906" w14:textId="77777777" w:rsidR="00D54B51" w:rsidRDefault="002877CE">
      <w:pPr>
        <w:ind w:left="-5"/>
      </w:pPr>
      <w:r>
        <w:t xml:space="preserve">The ISBA supports professional development opportunities that provide dedicated time for training and mentoring that enhance and elevate the teaching profession. We support state funding for professional development and in-service programs. The ISBA also supports enhanced teacher training on emerging technology advances impacting the delivery of instruction to students, such as the effective use of e-learning instruction strategies and artificial intelligence. </w:t>
      </w:r>
    </w:p>
    <w:p w14:paraId="7431888B" w14:textId="77777777" w:rsidR="00D54B51" w:rsidRDefault="002877CE">
      <w:pPr>
        <w:spacing w:after="0" w:line="259" w:lineRule="auto"/>
        <w:ind w:left="0" w:firstLine="0"/>
      </w:pPr>
      <w:r>
        <w:rPr>
          <w:b/>
        </w:rPr>
        <w:t xml:space="preserve"> </w:t>
      </w:r>
    </w:p>
    <w:p w14:paraId="2B5033A2" w14:textId="77777777" w:rsidR="00D54B51" w:rsidRDefault="002877CE">
      <w:pPr>
        <w:pStyle w:val="Heading1"/>
        <w:ind w:left="-5" w:right="0"/>
      </w:pPr>
      <w:r>
        <w:t xml:space="preserve">Seek Rigorous and Consistent Financial and Academic Outcome Measures for All Schools </w:t>
      </w:r>
    </w:p>
    <w:p w14:paraId="3ED9A07F" w14:textId="77777777" w:rsidR="00D54B51" w:rsidRDefault="002877CE">
      <w:pPr>
        <w:ind w:left="-5"/>
      </w:pPr>
      <w:r>
        <w:t xml:space="preserve">The ISBA believes that the best approach to tracking the academic progress and effectiveness of our schools is through public transparency and availability of multiple academic outcome measures. The metrics used to grade school corporations and individual schools should be transparent and easy to understand. ISBA supports the use of multiple measures in the GPS Data Dashboard to judge the quality of schools to reduce the over-reliance on summative assessment scores. </w:t>
      </w:r>
    </w:p>
    <w:p w14:paraId="3DEF0F63" w14:textId="77777777" w:rsidR="00D54B51" w:rsidRDefault="002877CE">
      <w:pPr>
        <w:spacing w:after="0" w:line="259" w:lineRule="auto"/>
        <w:ind w:left="0" w:firstLine="0"/>
      </w:pPr>
      <w:r>
        <w:t xml:space="preserve"> </w:t>
      </w:r>
    </w:p>
    <w:p w14:paraId="172E2E58" w14:textId="418BD931" w:rsidR="00D54B51" w:rsidRDefault="002877CE">
      <w:pPr>
        <w:ind w:left="-5"/>
      </w:pPr>
      <w:r>
        <w:t>Regardless of which metrics are used to judge the quality of schools, all schools (public, public charter, and private) receiving state tuition support dollars should adhere to the same academic and financial accountability metrics. The public has a right to expect transparency and compliance with the public notice requirements, record keeping and audits needed for financial accountability, and access to public records from all schools</w:t>
      </w:r>
      <w:r w:rsidR="00B7522A">
        <w:t xml:space="preserve"> </w:t>
      </w:r>
      <w:r w:rsidR="00BC7285">
        <w:t xml:space="preserve">that </w:t>
      </w:r>
      <w:r w:rsidR="00B7522A">
        <w:t>receiv</w:t>
      </w:r>
      <w:r w:rsidR="00BC7285">
        <w:t>e</w:t>
      </w:r>
      <w:r w:rsidR="00B7522A">
        <w:t xml:space="preserve"> state fund</w:t>
      </w:r>
      <w:r w:rsidR="00BC7285">
        <w:t>ing</w:t>
      </w:r>
      <w:r>
        <w:t xml:space="preserve">. Whether an audit is conducted by the State Board of Accounts (SBOA) or by a contracted accounting firm, all audits should be submitted to the SBOA and made publicly available through the state’s Gateway system. In addition, any school or school system receiving state tuition support should post an annual budget accessible to the public and have a public hearing on the budget before adoption. Dollars flowing to each school system type should be itemized separately in the state </w:t>
      </w:r>
      <w:r>
        <w:lastRenderedPageBreak/>
        <w:t xml:space="preserve">budget. Taxpayers deserve full transparency regarding how their tax dollars are spent on these programs. </w:t>
      </w:r>
    </w:p>
    <w:p w14:paraId="61B4B697" w14:textId="77777777" w:rsidR="00D54B51" w:rsidRDefault="002877CE">
      <w:pPr>
        <w:spacing w:after="0" w:line="259" w:lineRule="auto"/>
        <w:ind w:left="0" w:firstLine="0"/>
      </w:pPr>
      <w:r>
        <w:t xml:space="preserve"> </w:t>
      </w:r>
    </w:p>
    <w:p w14:paraId="6CCDA9C7" w14:textId="77777777" w:rsidR="00D54B51" w:rsidRDefault="002877CE">
      <w:pPr>
        <w:ind w:left="-5"/>
      </w:pPr>
      <w:r>
        <w:t xml:space="preserve">The ISBA recognizes and commends the efforts of public schools to fulfill the unique constitutional duty to educate every child.  </w:t>
      </w:r>
    </w:p>
    <w:p w14:paraId="28F718DA" w14:textId="77777777" w:rsidR="00D54B51" w:rsidRDefault="002877CE">
      <w:pPr>
        <w:spacing w:after="0" w:line="259" w:lineRule="auto"/>
        <w:ind w:left="0" w:firstLine="0"/>
      </w:pPr>
      <w:r>
        <w:rPr>
          <w:b/>
        </w:rPr>
        <w:t xml:space="preserve"> </w:t>
      </w:r>
    </w:p>
    <w:p w14:paraId="2A8129DB" w14:textId="1920BCA4" w:rsidR="00D54B51" w:rsidRDefault="00EF3CC5">
      <w:pPr>
        <w:pStyle w:val="Heading1"/>
        <w:ind w:left="-5" w:right="0"/>
      </w:pPr>
      <w:r>
        <w:t>Oppose Further Changes to School Board Election Procedures</w:t>
      </w:r>
      <w:r w:rsidR="002877CE">
        <w:rPr>
          <w:b w:val="0"/>
        </w:rPr>
        <w:t xml:space="preserve"> </w:t>
      </w:r>
    </w:p>
    <w:p w14:paraId="382F750D" w14:textId="65536012" w:rsidR="00D54B51" w:rsidRDefault="002877CE">
      <w:pPr>
        <w:ind w:left="-5"/>
      </w:pPr>
      <w:r>
        <w:t>The ISBA supports</w:t>
      </w:r>
      <w:r w:rsidR="00EF3CC5">
        <w:t xml:space="preserve"> maintain</w:t>
      </w:r>
      <w:r w:rsidR="00963194">
        <w:t>ing</w:t>
      </w:r>
      <w:r w:rsidR="00EF3CC5">
        <w:t xml:space="preserve"> the </w:t>
      </w:r>
      <w:r w:rsidR="005F1289">
        <w:t xml:space="preserve">nonpartisan </w:t>
      </w:r>
      <w:r w:rsidR="00EF3CC5">
        <w:t xml:space="preserve">option </w:t>
      </w:r>
      <w:r w:rsidR="005F1289">
        <w:t xml:space="preserve">for declaration of </w:t>
      </w:r>
      <w:r w:rsidR="00282192">
        <w:t xml:space="preserve">school board </w:t>
      </w:r>
      <w:r w:rsidR="005F1289">
        <w:t>candidacy</w:t>
      </w:r>
      <w:r w:rsidR="00963194">
        <w:t xml:space="preserve">. </w:t>
      </w:r>
      <w:r>
        <w:t xml:space="preserve"> </w:t>
      </w:r>
      <w:r w:rsidR="008503A9">
        <w:t>Enabling n</w:t>
      </w:r>
      <w:r>
        <w:t xml:space="preserve">onpartisan </w:t>
      </w:r>
      <w:r w:rsidR="008503A9">
        <w:t xml:space="preserve">candidates </w:t>
      </w:r>
      <w:r w:rsidR="00722F7B">
        <w:t xml:space="preserve">to run for school board </w:t>
      </w:r>
      <w:r w:rsidR="007D3A19">
        <w:t>office helps</w:t>
      </w:r>
      <w:r>
        <w:t xml:space="preserve"> </w:t>
      </w:r>
      <w:r w:rsidR="00B0478A">
        <w:t xml:space="preserve">ensure </w:t>
      </w:r>
      <w:r w:rsidR="00D03D89">
        <w:t>options</w:t>
      </w:r>
      <w:r>
        <w:t xml:space="preserve"> </w:t>
      </w:r>
      <w:proofErr w:type="gramStart"/>
      <w:r>
        <w:t>t</w:t>
      </w:r>
      <w:r w:rsidR="008A0AD0">
        <w:t>o</w:t>
      </w:r>
      <w:proofErr w:type="gramEnd"/>
      <w:r>
        <w:t xml:space="preserve"> voters </w:t>
      </w:r>
      <w:r w:rsidR="00570456">
        <w:t>t</w:t>
      </w:r>
      <w:r w:rsidR="008A0AD0">
        <w:t xml:space="preserve">o </w:t>
      </w:r>
      <w:r>
        <w:t xml:space="preserve">choose school board members based on their qualifications, experience, and vision for addressing local educational needs, </w:t>
      </w:r>
      <w:r w:rsidR="00722F7B">
        <w:t xml:space="preserve">rather than on </w:t>
      </w:r>
      <w:r>
        <w:t xml:space="preserve">party </w:t>
      </w:r>
      <w:r w:rsidR="00722F7B">
        <w:t>affiliation alone</w:t>
      </w:r>
      <w:r>
        <w:t xml:space="preserve">. School board members are entrusted with deciding what is in the best interest of students in their community. The focus of a school board member should remain on </w:t>
      </w:r>
      <w:r w:rsidR="008A0AD0">
        <w:t xml:space="preserve">what is best for </w:t>
      </w:r>
      <w:r>
        <w:t xml:space="preserve">all children. </w:t>
      </w:r>
    </w:p>
    <w:p w14:paraId="0FAA39EF" w14:textId="77777777" w:rsidR="00D54B51" w:rsidRDefault="002877CE">
      <w:pPr>
        <w:spacing w:after="0" w:line="259" w:lineRule="auto"/>
        <w:ind w:left="0" w:firstLine="0"/>
      </w:pPr>
      <w:r>
        <w:t xml:space="preserve"> </w:t>
      </w:r>
    </w:p>
    <w:p w14:paraId="107D40DF" w14:textId="77777777" w:rsidR="00D54B51" w:rsidRDefault="002877CE">
      <w:pPr>
        <w:pStyle w:val="Heading1"/>
        <w:ind w:left="-5" w:right="0"/>
      </w:pPr>
      <w:r>
        <w:t>Protect School Calendar/Instructional Time</w:t>
      </w:r>
      <w:r>
        <w:rPr>
          <w:b w:val="0"/>
        </w:rPr>
        <w:t xml:space="preserve"> </w:t>
      </w:r>
    </w:p>
    <w:p w14:paraId="302E6395" w14:textId="7E606E8F" w:rsidR="00D54B51" w:rsidRDefault="002877CE">
      <w:pPr>
        <w:ind w:left="-5"/>
      </w:pPr>
      <w:r>
        <w:t xml:space="preserve">The ISBA supports the legislative mandate to conduct a minimum of 180 student instructional days and believes the local governing body should retain the authority to determine the school calendar. The ISBA supports giving increased flexibility to school boards to determine the length of the instructional day for professional development and student achievement benefits.    </w:t>
      </w:r>
    </w:p>
    <w:p w14:paraId="7EAF2A49" w14:textId="77777777" w:rsidR="00D54B51" w:rsidRDefault="002877CE">
      <w:pPr>
        <w:spacing w:after="0" w:line="259" w:lineRule="auto"/>
        <w:ind w:left="0" w:firstLine="0"/>
      </w:pPr>
      <w:r>
        <w:rPr>
          <w:b/>
        </w:rPr>
        <w:t xml:space="preserve"> </w:t>
      </w:r>
    </w:p>
    <w:p w14:paraId="20F62696" w14:textId="77777777" w:rsidR="00D54B51" w:rsidRDefault="002877CE">
      <w:pPr>
        <w:pStyle w:val="Heading1"/>
        <w:ind w:left="-5" w:right="0"/>
      </w:pPr>
      <w:r>
        <w:t xml:space="preserve">Support Career and Technical Education (CTE) </w:t>
      </w:r>
    </w:p>
    <w:p w14:paraId="1E3309E8" w14:textId="77777777" w:rsidR="00D54B51" w:rsidRDefault="002877CE">
      <w:pPr>
        <w:ind w:left="-5"/>
      </w:pPr>
      <w:r>
        <w:t xml:space="preserve">The ISBA believes career and technical education (CTE) should enable students to complete a postsecondary credential during high school or move toward gainful employment upon graduation. All students should have the opportunity to engage in career exploration with support from highly qualified and professionally trained educators and through access to meaningful work-based learning, internships, or modern youth apprenticeships. </w:t>
      </w:r>
      <w:proofErr w:type="gramStart"/>
      <w:r>
        <w:t>Secondary</w:t>
      </w:r>
      <w:proofErr w:type="gramEnd"/>
      <w:r>
        <w:t xml:space="preserve"> CTE courses should create career pathways that lead to transferable skills and certifications to foster life-long learning. Policymakers and state agency leaders must support fiscal and administrative policies to </w:t>
      </w:r>
      <w:proofErr w:type="gramStart"/>
      <w:r>
        <w:t>incentivize</w:t>
      </w:r>
      <w:proofErr w:type="gramEnd"/>
      <w:r>
        <w:t xml:space="preserve"> cooperation between school corporations and employers, as well as to help with the purchase of new equipment, curricular resources and materials, the cost of all credentialing exams, and student transportation. </w:t>
      </w:r>
    </w:p>
    <w:p w14:paraId="270FD2B6" w14:textId="77777777" w:rsidR="00D54B51" w:rsidRDefault="002877CE">
      <w:pPr>
        <w:spacing w:after="0" w:line="259" w:lineRule="auto"/>
        <w:ind w:left="0" w:firstLine="0"/>
      </w:pPr>
      <w:r>
        <w:t xml:space="preserve"> </w:t>
      </w:r>
    </w:p>
    <w:p w14:paraId="25136A42" w14:textId="547E4FEC" w:rsidR="00D54B51" w:rsidRDefault="004D13C4">
      <w:pPr>
        <w:pStyle w:val="Heading1"/>
        <w:ind w:left="-5" w:right="0"/>
      </w:pPr>
      <w:r>
        <w:t xml:space="preserve">Create Public School </w:t>
      </w:r>
      <w:r w:rsidR="002877CE">
        <w:t xml:space="preserve">Tax Credit Programs </w:t>
      </w:r>
    </w:p>
    <w:p w14:paraId="74E02D28" w14:textId="45703377" w:rsidR="00D54B51" w:rsidRDefault="002877CE">
      <w:pPr>
        <w:ind w:left="-5"/>
      </w:pPr>
      <w:r>
        <w:t>The ISBA supports an income tax credit for charitable contributions to public education foundations</w:t>
      </w:r>
      <w:r w:rsidR="003F72B4">
        <w:t xml:space="preserve"> </w:t>
      </w:r>
      <w:r w:rsidR="005A64B7">
        <w:t>comparable to the credit for contributions to Scholarship Granting Organizations</w:t>
      </w:r>
      <w:r>
        <w:t xml:space="preserve">. In addition, ISBA supports a tax deduction for parents of </w:t>
      </w:r>
      <w:proofErr w:type="gramStart"/>
      <w:r>
        <w:t>public school</w:t>
      </w:r>
      <w:proofErr w:type="gramEnd"/>
      <w:r>
        <w:t xml:space="preserve"> students for educational expenses, including educational materials not paid for by the school corporation through the state curricular materials reimbursement fund. </w:t>
      </w:r>
    </w:p>
    <w:p w14:paraId="573146CC" w14:textId="77777777" w:rsidR="00D54B51" w:rsidRDefault="002877CE">
      <w:pPr>
        <w:spacing w:after="0" w:line="259" w:lineRule="auto"/>
        <w:ind w:left="0" w:firstLine="0"/>
      </w:pPr>
      <w:r>
        <w:rPr>
          <w:b/>
        </w:rPr>
        <w:t xml:space="preserve"> </w:t>
      </w:r>
    </w:p>
    <w:p w14:paraId="1875F646" w14:textId="77777777" w:rsidR="00D54B51" w:rsidRDefault="002877CE">
      <w:pPr>
        <w:pStyle w:val="Heading1"/>
        <w:ind w:left="-5" w:right="0"/>
      </w:pPr>
      <w:r>
        <w:t xml:space="preserve">Allow Adequate Time and Support for Implementation of Policy Changes </w:t>
      </w:r>
    </w:p>
    <w:p w14:paraId="0075A011" w14:textId="77777777" w:rsidR="00D54B51" w:rsidRDefault="002877CE">
      <w:pPr>
        <w:ind w:left="-5"/>
      </w:pPr>
      <w:r>
        <w:t xml:space="preserve">The ISBA supports giving school corporations sufficient time to implement and assess the impact of the changes being made in the field of education. The constant change in standards, laws, and policies makes it difficult to determine whether the changes are resulting in improved educational environments, opportunities, and/or outcomes for students. </w:t>
      </w:r>
    </w:p>
    <w:sectPr w:rsidR="00D54B51">
      <w:pgSz w:w="12240" w:h="15840"/>
      <w:pgMar w:top="1087" w:right="1441" w:bottom="14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51"/>
    <w:rsid w:val="00044493"/>
    <w:rsid w:val="00047D1A"/>
    <w:rsid w:val="00060120"/>
    <w:rsid w:val="00072BB5"/>
    <w:rsid w:val="00075111"/>
    <w:rsid w:val="000801F6"/>
    <w:rsid w:val="00147593"/>
    <w:rsid w:val="00170E5C"/>
    <w:rsid w:val="001A2FA3"/>
    <w:rsid w:val="001D12ED"/>
    <w:rsid w:val="001E27D6"/>
    <w:rsid w:val="0021074F"/>
    <w:rsid w:val="00240EFC"/>
    <w:rsid w:val="00282192"/>
    <w:rsid w:val="002877CE"/>
    <w:rsid w:val="002E34F0"/>
    <w:rsid w:val="00332A44"/>
    <w:rsid w:val="00332BB0"/>
    <w:rsid w:val="003A600E"/>
    <w:rsid w:val="003B58E9"/>
    <w:rsid w:val="003D66E1"/>
    <w:rsid w:val="003F72B4"/>
    <w:rsid w:val="00465482"/>
    <w:rsid w:val="004D13C4"/>
    <w:rsid w:val="004F3603"/>
    <w:rsid w:val="00533874"/>
    <w:rsid w:val="00560E76"/>
    <w:rsid w:val="00570456"/>
    <w:rsid w:val="00575202"/>
    <w:rsid w:val="005866AA"/>
    <w:rsid w:val="005A64B7"/>
    <w:rsid w:val="005F1289"/>
    <w:rsid w:val="00681727"/>
    <w:rsid w:val="00722F7B"/>
    <w:rsid w:val="007D3A19"/>
    <w:rsid w:val="008503A9"/>
    <w:rsid w:val="0088003D"/>
    <w:rsid w:val="00887686"/>
    <w:rsid w:val="008A0AD0"/>
    <w:rsid w:val="008D3A54"/>
    <w:rsid w:val="008E670A"/>
    <w:rsid w:val="008E7863"/>
    <w:rsid w:val="008F0115"/>
    <w:rsid w:val="00963194"/>
    <w:rsid w:val="009837DE"/>
    <w:rsid w:val="009C5D8A"/>
    <w:rsid w:val="009F3B8A"/>
    <w:rsid w:val="00A32311"/>
    <w:rsid w:val="00A35BCA"/>
    <w:rsid w:val="00A818DB"/>
    <w:rsid w:val="00A97775"/>
    <w:rsid w:val="00AD61AF"/>
    <w:rsid w:val="00AF2DD9"/>
    <w:rsid w:val="00B0478A"/>
    <w:rsid w:val="00B27B5C"/>
    <w:rsid w:val="00B3790B"/>
    <w:rsid w:val="00B65C03"/>
    <w:rsid w:val="00B7522A"/>
    <w:rsid w:val="00B76FC1"/>
    <w:rsid w:val="00B91B7F"/>
    <w:rsid w:val="00BA4505"/>
    <w:rsid w:val="00BC7285"/>
    <w:rsid w:val="00BF6D43"/>
    <w:rsid w:val="00C97362"/>
    <w:rsid w:val="00CD23AF"/>
    <w:rsid w:val="00D03D89"/>
    <w:rsid w:val="00D06236"/>
    <w:rsid w:val="00D2283D"/>
    <w:rsid w:val="00D4296C"/>
    <w:rsid w:val="00D507C0"/>
    <w:rsid w:val="00D54B51"/>
    <w:rsid w:val="00D945A9"/>
    <w:rsid w:val="00DF79D7"/>
    <w:rsid w:val="00E24387"/>
    <w:rsid w:val="00EA7451"/>
    <w:rsid w:val="00EE1349"/>
    <w:rsid w:val="00EE2DDB"/>
    <w:rsid w:val="00EF3CC5"/>
    <w:rsid w:val="00EF6386"/>
    <w:rsid w:val="00F124D0"/>
    <w:rsid w:val="00F13C73"/>
    <w:rsid w:val="00F17D29"/>
    <w:rsid w:val="00F761CB"/>
    <w:rsid w:val="00FA01D4"/>
    <w:rsid w:val="00FE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5C5D1"/>
  <w15:docId w15:val="{1576FD79-5D92-42B7-B783-681FDC68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 w:line="250" w:lineRule="auto"/>
      <w:ind w:left="10" w:right="3"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paragraph" w:styleId="Revision">
    <w:name w:val="Revision"/>
    <w:hidden/>
    <w:uiPriority w:val="99"/>
    <w:semiHidden/>
    <w:rsid w:val="00DF79D7"/>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072BB5"/>
    <w:rPr>
      <w:sz w:val="16"/>
      <w:szCs w:val="16"/>
    </w:rPr>
  </w:style>
  <w:style w:type="paragraph" w:styleId="CommentText">
    <w:name w:val="annotation text"/>
    <w:basedOn w:val="Normal"/>
    <w:link w:val="CommentTextChar"/>
    <w:uiPriority w:val="99"/>
    <w:unhideWhenUsed/>
    <w:rsid w:val="00072BB5"/>
    <w:pPr>
      <w:spacing w:line="240" w:lineRule="auto"/>
    </w:pPr>
    <w:rPr>
      <w:sz w:val="20"/>
      <w:szCs w:val="20"/>
    </w:rPr>
  </w:style>
  <w:style w:type="character" w:customStyle="1" w:styleId="CommentTextChar">
    <w:name w:val="Comment Text Char"/>
    <w:basedOn w:val="DefaultParagraphFont"/>
    <w:link w:val="CommentText"/>
    <w:uiPriority w:val="99"/>
    <w:rsid w:val="00072BB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72BB5"/>
    <w:rPr>
      <w:b/>
      <w:bCs/>
    </w:rPr>
  </w:style>
  <w:style w:type="character" w:customStyle="1" w:styleId="CommentSubjectChar">
    <w:name w:val="Comment Subject Char"/>
    <w:basedOn w:val="CommentTextChar"/>
    <w:link w:val="CommentSubject"/>
    <w:uiPriority w:val="99"/>
    <w:semiHidden/>
    <w:rsid w:val="00072BB5"/>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2F3A6E4CE9D4992DF13085A4936F0" ma:contentTypeVersion="13" ma:contentTypeDescription="Create a new document." ma:contentTypeScope="" ma:versionID="b507e1e3c5198e168122bf688799302e">
  <xsd:schema xmlns:xsd="http://www.w3.org/2001/XMLSchema" xmlns:xs="http://www.w3.org/2001/XMLSchema" xmlns:p="http://schemas.microsoft.com/office/2006/metadata/properties" xmlns:ns2="8d1b0693-8a7f-4885-bdf8-da504b166e7e" xmlns:ns3="6bb5860c-89dc-4e20-89f0-d5328f645ba0" targetNamespace="http://schemas.microsoft.com/office/2006/metadata/properties" ma:root="true" ma:fieldsID="2cc74bf1003ab0f8a378387e855e0bd6" ns2:_="" ns3:_="">
    <xsd:import namespace="8d1b0693-8a7f-4885-bdf8-da504b166e7e"/>
    <xsd:import namespace="6bb5860c-89dc-4e20-89f0-d5328f645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b0693-8a7f-4885-bdf8-da504b16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8822e7-7c9a-402c-b586-652420c2bd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5860c-89dc-4e20-89f0-d5328f645b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df2613-e35d-4167-9812-ab935bbb1cb6}" ma:internalName="TaxCatchAll" ma:showField="CatchAllData" ma:web="6bb5860c-89dc-4e20-89f0-d5328f645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6122F-21D3-490B-BA93-9A1F73C97174}">
  <ds:schemaRefs>
    <ds:schemaRef ds:uri="http://schemas.microsoft.com/sharepoint/v3/contenttype/forms"/>
  </ds:schemaRefs>
</ds:datastoreItem>
</file>

<file path=customXml/itemProps2.xml><?xml version="1.0" encoding="utf-8"?>
<ds:datastoreItem xmlns:ds="http://schemas.openxmlformats.org/officeDocument/2006/customXml" ds:itemID="{B088F9FA-1620-43B0-92D4-9198CB2C7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b0693-8a7f-4885-bdf8-da504b166e7e"/>
    <ds:schemaRef ds:uri="6bb5860c-89dc-4e20-89f0-d5328f64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Spradlin</dc:creator>
  <cp:keywords/>
  <cp:lastModifiedBy>Adam VanOsdol</cp:lastModifiedBy>
  <cp:revision>4</cp:revision>
  <dcterms:created xsi:type="dcterms:W3CDTF">2025-08-28T15:03:00Z</dcterms:created>
  <dcterms:modified xsi:type="dcterms:W3CDTF">2025-09-15T17:39:00Z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0x0101004422F3A6E4CE9D4992DF13085A4936F0</vt:lpwstr>
  </property>
  <property fmtid="{D5CDD505-2E9C-101B-9397-08002B2CF9AE}" pid="3" name="GrammarlyDocumentId">
    <vt:lpwstr>f5cc6eae-40b1-411b-b615-f57ba0425f6a</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